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3500D641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5AA5899" w14:textId="6C22C91B" w:rsidR="00081292" w:rsidRPr="00940036" w:rsidRDefault="006D32C7" w:rsidP="00B50747">
      <w:pPr>
        <w:ind w:right="10"/>
        <w:rPr>
          <w:rFonts w:cs="Arial"/>
          <w:b/>
          <w:color w:val="FF0000"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  <w:r w:rsidR="00D54BC6">
        <w:rPr>
          <w:rFonts w:cs="Arial"/>
          <w:b/>
          <w:color w:val="FF0000"/>
          <w:szCs w:val="24"/>
          <w:u w:val="single"/>
        </w:rPr>
        <w:t xml:space="preserve"> </w:t>
      </w: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706" w:type="pct"/>
        <w:tblInd w:w="-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901"/>
        <w:gridCol w:w="3239"/>
      </w:tblGrid>
      <w:tr w:rsidR="00D54BC6" w:rsidRPr="00E77790" w14:paraId="0FC35D80" w14:textId="77777777" w:rsidTr="00B50747">
        <w:trPr>
          <w:trHeight w:val="539"/>
          <w:tblHeader/>
        </w:trPr>
        <w:tc>
          <w:tcPr>
            <w:tcW w:w="248" w:type="pct"/>
            <w:shd w:val="clear" w:color="auto" w:fill="D9D9D9" w:themeFill="background1" w:themeFillShade="D9"/>
            <w:vAlign w:val="center"/>
          </w:tcPr>
          <w:p w14:paraId="0D6AB627" w14:textId="77777777" w:rsidR="00506E61" w:rsidRPr="00E77790" w:rsidRDefault="00506E61" w:rsidP="00A85D53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Row</w:t>
            </w:r>
          </w:p>
        </w:tc>
        <w:tc>
          <w:tcPr>
            <w:tcW w:w="3234" w:type="pct"/>
            <w:shd w:val="clear" w:color="auto" w:fill="D9D9D9" w:themeFill="background1" w:themeFillShade="D9"/>
            <w:vAlign w:val="center"/>
          </w:tcPr>
          <w:p w14:paraId="6583E539" w14:textId="40417ABD" w:rsidR="00506E61" w:rsidRPr="00E77790" w:rsidRDefault="00506E61" w:rsidP="00A85D53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Task Description</w:t>
            </w:r>
            <w:r w:rsidR="00D54BC6">
              <w:rPr>
                <w:rFonts w:cs="Arial"/>
                <w:b/>
                <w:sz w:val="20"/>
              </w:rPr>
              <w:t xml:space="preserve"> (see Exhibit A, section D)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FD9ED7" w14:textId="0028FFE1" w:rsidR="00506E61" w:rsidRPr="00E77790" w:rsidRDefault="00506E61" w:rsidP="00A85D53">
            <w:pPr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Rate</w:t>
            </w:r>
            <w:r>
              <w:rPr>
                <w:rFonts w:cs="Arial"/>
                <w:b/>
                <w:sz w:val="20"/>
              </w:rPr>
              <w:t xml:space="preserve"> per Fiscal Year</w:t>
            </w:r>
            <w:r w:rsidR="00B50747">
              <w:rPr>
                <w:rFonts w:cs="Arial"/>
                <w:b/>
                <w:sz w:val="20"/>
              </w:rPr>
              <w:t xml:space="preserve"> (FY)</w:t>
            </w:r>
          </w:p>
        </w:tc>
      </w:tr>
      <w:tr w:rsidR="00D54BC6" w:rsidRPr="00E77790" w14:paraId="24E17613" w14:textId="77777777" w:rsidTr="00B50747">
        <w:trPr>
          <w:trHeight w:val="431"/>
        </w:trPr>
        <w:tc>
          <w:tcPr>
            <w:tcW w:w="248" w:type="pct"/>
            <w:shd w:val="clear" w:color="auto" w:fill="F2F2F2" w:themeFill="background1" w:themeFillShade="F2"/>
            <w:vAlign w:val="center"/>
          </w:tcPr>
          <w:p w14:paraId="54E69E3D" w14:textId="77777777" w:rsidR="00506E61" w:rsidRPr="00E77790" w:rsidRDefault="00506E61" w:rsidP="00A85D53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234" w:type="pct"/>
            <w:shd w:val="clear" w:color="auto" w:fill="F2F2F2" w:themeFill="background1" w:themeFillShade="F2"/>
            <w:vAlign w:val="center"/>
          </w:tcPr>
          <w:p w14:paraId="02EF0BC1" w14:textId="77777777" w:rsidR="00506E61" w:rsidRPr="00E77790" w:rsidRDefault="00506E61" w:rsidP="00A85D53">
            <w:pPr>
              <w:ind w:left="67" w:right="-108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QHP Applications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2A004" w14:textId="77777777" w:rsidR="00506E61" w:rsidRPr="00E77790" w:rsidRDefault="00506E61" w:rsidP="00A85D53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D54BC6" w:rsidRPr="00E77790" w14:paraId="2E18BEAE" w14:textId="77777777" w:rsidTr="00B50747">
        <w:trPr>
          <w:trHeight w:val="620"/>
        </w:trPr>
        <w:tc>
          <w:tcPr>
            <w:tcW w:w="248" w:type="pct"/>
          </w:tcPr>
          <w:p w14:paraId="787B7F5B" w14:textId="77777777" w:rsidR="00506E61" w:rsidRPr="00E77790" w:rsidRDefault="00506E61" w:rsidP="00A85D53">
            <w:pPr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3234" w:type="pct"/>
            <w:vAlign w:val="center"/>
          </w:tcPr>
          <w:p w14:paraId="3D46E827" w14:textId="77777777" w:rsidR="00506E61" w:rsidRPr="00B50747" w:rsidRDefault="00506E61" w:rsidP="00B50747">
            <w:pPr>
              <w:pStyle w:val="Bullet-1"/>
              <w:numPr>
                <w:ilvl w:val="0"/>
                <w:numId w:val="0"/>
              </w:numPr>
              <w:tabs>
                <w:tab w:val="num" w:pos="787"/>
              </w:tabs>
              <w:spacing w:after="0"/>
              <w:rPr>
                <w:b/>
                <w:bCs/>
                <w:sz w:val="20"/>
                <w:szCs w:val="20"/>
              </w:rPr>
            </w:pPr>
            <w:r w:rsidRPr="00B50747">
              <w:rPr>
                <w:b/>
                <w:bCs/>
                <w:sz w:val="20"/>
                <w:szCs w:val="20"/>
              </w:rPr>
              <w:t>Individual Market QHP – Annual Tasks</w:t>
            </w:r>
          </w:p>
          <w:p w14:paraId="6444FA28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Organizing, editing, and loading QHP applications including all applicable attachments and appendices into the Contractor’s system.</w:t>
            </w:r>
          </w:p>
          <w:p w14:paraId="453DB024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Application response management tasks.</w:t>
            </w:r>
          </w:p>
          <w:p w14:paraId="6A9B2639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Develop an annual response structure that accommodates Annual updates and document attachment submission.</w:t>
            </w:r>
          </w:p>
          <w:p w14:paraId="5D164E0B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3BBCE712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58F966AB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</w:t>
            </w:r>
            <w:r>
              <w:rPr>
                <w:sz w:val="18"/>
                <w:szCs w:val="18"/>
              </w:rPr>
              <w:t>.</w:t>
            </w:r>
          </w:p>
          <w:p w14:paraId="72E492BF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45DEA76B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AA4F8" w14:textId="77777777" w:rsidR="00506E61" w:rsidRPr="00506E61" w:rsidRDefault="00506E61" w:rsidP="00506E61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3627BADA" w14:textId="77777777" w:rsidR="00506E61" w:rsidRPr="00506E61" w:rsidRDefault="00506E61" w:rsidP="00506E61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2D38013B" w14:textId="77777777" w:rsidR="00506E61" w:rsidRPr="00506E61" w:rsidRDefault="00506E61" w:rsidP="00506E61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1190F059" w14:textId="58473E38" w:rsidR="00506E61" w:rsidRPr="00E77790" w:rsidRDefault="00506E61" w:rsidP="00B50747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5463BC04" w14:textId="77777777" w:rsidR="00506E61" w:rsidRDefault="000157D6" w:rsidP="00A85D53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5E9709BA" w14:textId="1B348EF9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635D1603" w14:textId="2795445D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00614174" w14:textId="7BF7E673" w:rsidR="000157D6" w:rsidRPr="00E77790" w:rsidRDefault="000157D6" w:rsidP="00A85D53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</w:p>
        </w:tc>
      </w:tr>
      <w:tr w:rsidR="00D54BC6" w:rsidRPr="00E77790" w14:paraId="4D689934" w14:textId="77777777" w:rsidTr="00B50747">
        <w:trPr>
          <w:trHeight w:val="620"/>
        </w:trPr>
        <w:tc>
          <w:tcPr>
            <w:tcW w:w="248" w:type="pct"/>
          </w:tcPr>
          <w:p w14:paraId="0657F441" w14:textId="77777777" w:rsidR="00506E61" w:rsidRPr="00E77790" w:rsidRDefault="00506E61" w:rsidP="00A85D53">
            <w:pPr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2</w:t>
            </w:r>
          </w:p>
        </w:tc>
        <w:tc>
          <w:tcPr>
            <w:tcW w:w="3234" w:type="pct"/>
            <w:vAlign w:val="center"/>
          </w:tcPr>
          <w:p w14:paraId="6BCCD748" w14:textId="77777777" w:rsidR="00506E61" w:rsidRPr="00E77790" w:rsidRDefault="00506E61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E77790">
              <w:rPr>
                <w:b/>
                <w:sz w:val="20"/>
              </w:rPr>
              <w:t>Covered California for Small Business QHP – Annual Tasks</w:t>
            </w:r>
          </w:p>
          <w:p w14:paraId="2C6BCF42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Organizing, editing, and loading QHP applications including all applicable attachments and appendices into the Contractor’s system.</w:t>
            </w:r>
          </w:p>
          <w:p w14:paraId="3EFAD23F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Application response management tasks.</w:t>
            </w:r>
          </w:p>
          <w:p w14:paraId="3760885D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Develop an annual response structure that accommodates Annual updates and document attachment submission.</w:t>
            </w:r>
          </w:p>
          <w:p w14:paraId="0D5C2A96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23DA64F5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0C5FC1C8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</w:t>
            </w:r>
          </w:p>
          <w:p w14:paraId="5099C0AA" w14:textId="77777777" w:rsidR="00506E61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35811DA3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3919D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01960723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739C67AF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52429797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5FBE5A57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249C9752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2665E4DB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460F20C2" w14:textId="302DE912" w:rsidR="00506E61" w:rsidRPr="00E77790" w:rsidRDefault="00506E61" w:rsidP="00B50747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</w:tc>
      </w:tr>
      <w:tr w:rsidR="00D54BC6" w:rsidRPr="00E77790" w14:paraId="5B1737E9" w14:textId="77777777" w:rsidTr="00B50747">
        <w:trPr>
          <w:trHeight w:val="3581"/>
        </w:trPr>
        <w:tc>
          <w:tcPr>
            <w:tcW w:w="248" w:type="pct"/>
          </w:tcPr>
          <w:p w14:paraId="40CA3ADB" w14:textId="77777777" w:rsidR="00506E61" w:rsidRPr="00E77790" w:rsidRDefault="00506E61" w:rsidP="00A85D53">
            <w:pPr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3</w:t>
            </w:r>
          </w:p>
        </w:tc>
        <w:tc>
          <w:tcPr>
            <w:tcW w:w="3234" w:type="pct"/>
            <w:vAlign w:val="center"/>
          </w:tcPr>
          <w:p w14:paraId="246BB0B4" w14:textId="77777777" w:rsidR="00506E61" w:rsidRPr="00E77790" w:rsidRDefault="00506E61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E77790">
              <w:rPr>
                <w:b/>
                <w:sz w:val="20"/>
              </w:rPr>
              <w:t>Covered California for Small Business – QHP Optional Quarterly</w:t>
            </w:r>
          </w:p>
          <w:p w14:paraId="5266C002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At Covered California’s request, additional quarterly cycles of organizing, editing, and loading QHP applications including all applicable attachments and appendices into the Contractor’s system.</w:t>
            </w:r>
          </w:p>
          <w:p w14:paraId="4AE0E5AB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Application response management tasks</w:t>
            </w:r>
          </w:p>
          <w:p w14:paraId="30D79BE7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Additional quarterly application response management tasks upon Covered California request for additional services related to quarterly entrants.</w:t>
            </w:r>
          </w:p>
          <w:p w14:paraId="5A84AB08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2EA24200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21CAC9A7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</w:t>
            </w:r>
          </w:p>
          <w:p w14:paraId="7BA6C25D" w14:textId="77777777" w:rsidR="00506E61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477B5A8D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EBF9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4056924A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5436EAD6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59DBF84B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66D14C4E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06693E3B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0E851482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624DBB4C" w14:textId="6021F458" w:rsidR="00506E61" w:rsidRPr="00E77790" w:rsidRDefault="00506E61" w:rsidP="00B50747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</w:tc>
      </w:tr>
    </w:tbl>
    <w:p w14:paraId="4FBDDA8E" w14:textId="77D1801D" w:rsidR="00830B5E" w:rsidRDefault="00830B5E" w:rsidP="00830B5E"/>
    <w:tbl>
      <w:tblPr>
        <w:tblW w:w="5631" w:type="pct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6838"/>
        <w:gridCol w:w="3151"/>
      </w:tblGrid>
      <w:tr w:rsidR="00D54BC6" w:rsidRPr="002B0E9D" w14:paraId="3C7D236C" w14:textId="77777777" w:rsidTr="00B50747">
        <w:trPr>
          <w:trHeight w:val="576"/>
        </w:trPr>
        <w:tc>
          <w:tcPr>
            <w:tcW w:w="257" w:type="pct"/>
            <w:shd w:val="clear" w:color="auto" w:fill="D9D9D9" w:themeFill="background1" w:themeFillShade="D9"/>
            <w:vAlign w:val="center"/>
          </w:tcPr>
          <w:p w14:paraId="417665A2" w14:textId="77777777" w:rsidR="00D54BC6" w:rsidRPr="00DA5FC0" w:rsidRDefault="00D54BC6" w:rsidP="00A85D53">
            <w:pPr>
              <w:ind w:left="-108" w:right="-108"/>
              <w:jc w:val="center"/>
              <w:rPr>
                <w:b/>
                <w:sz w:val="20"/>
              </w:rPr>
            </w:pPr>
            <w:r w:rsidRPr="00DA5FC0">
              <w:rPr>
                <w:b/>
                <w:sz w:val="20"/>
              </w:rPr>
              <w:t>Row</w:t>
            </w:r>
          </w:p>
        </w:tc>
        <w:tc>
          <w:tcPr>
            <w:tcW w:w="3247" w:type="pct"/>
            <w:shd w:val="clear" w:color="auto" w:fill="D9D9D9" w:themeFill="background1" w:themeFillShade="D9"/>
            <w:vAlign w:val="center"/>
          </w:tcPr>
          <w:p w14:paraId="544BB45A" w14:textId="4D48076F" w:rsidR="00D54BC6" w:rsidRPr="002B0E9D" w:rsidRDefault="00D54BC6" w:rsidP="00A85D53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  <w:r>
              <w:rPr>
                <w:rFonts w:cs="Arial"/>
                <w:b/>
                <w:sz w:val="20"/>
              </w:rPr>
              <w:t xml:space="preserve"> (see Exhibit A, section D)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52BF2D" w14:textId="6A26289B" w:rsidR="00D54BC6" w:rsidRPr="002B0E9D" w:rsidRDefault="00D54BC6" w:rsidP="00A85D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 per Fiscal Year</w:t>
            </w:r>
            <w:r w:rsidR="000864D2">
              <w:rPr>
                <w:b/>
                <w:sz w:val="20"/>
              </w:rPr>
              <w:t xml:space="preserve"> (FY)</w:t>
            </w:r>
          </w:p>
        </w:tc>
      </w:tr>
      <w:tr w:rsidR="00D54BC6" w:rsidRPr="002B0E9D" w14:paraId="6EAA1933" w14:textId="77777777" w:rsidTr="00B50747">
        <w:trPr>
          <w:trHeight w:val="576"/>
        </w:trPr>
        <w:tc>
          <w:tcPr>
            <w:tcW w:w="257" w:type="pct"/>
            <w:shd w:val="clear" w:color="auto" w:fill="F2F2F2" w:themeFill="background1" w:themeFillShade="F2"/>
          </w:tcPr>
          <w:p w14:paraId="27C4CCAA" w14:textId="77777777" w:rsidR="00D54BC6" w:rsidRDefault="00D54BC6" w:rsidP="00A85D53">
            <w:pPr>
              <w:spacing w:before="60" w:after="60"/>
              <w:rPr>
                <w:sz w:val="20"/>
              </w:rPr>
            </w:pPr>
          </w:p>
        </w:tc>
        <w:tc>
          <w:tcPr>
            <w:tcW w:w="3247" w:type="pct"/>
            <w:shd w:val="clear" w:color="auto" w:fill="F2F2F2" w:themeFill="background1" w:themeFillShade="F2"/>
            <w:vAlign w:val="center"/>
          </w:tcPr>
          <w:p w14:paraId="5C7FE06C" w14:textId="77777777" w:rsidR="00D54BC6" w:rsidRDefault="00D54BC6" w:rsidP="00A85D53">
            <w:pPr>
              <w:pStyle w:val="Bullet-1"/>
              <w:numPr>
                <w:ilvl w:val="0"/>
                <w:numId w:val="0"/>
              </w:numPr>
              <w:spacing w:after="0"/>
              <w:ind w:left="427" w:hanging="360"/>
              <w:rPr>
                <w:b/>
                <w:sz w:val="20"/>
              </w:rPr>
            </w:pPr>
            <w:r>
              <w:rPr>
                <w:b/>
                <w:sz w:val="20"/>
              </w:rPr>
              <w:t>QD</w:t>
            </w:r>
            <w:r w:rsidRPr="00A846D2">
              <w:rPr>
                <w:b/>
                <w:sz w:val="20"/>
              </w:rPr>
              <w:t>P Applications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1760A" w14:textId="77777777" w:rsidR="00D54BC6" w:rsidRPr="002B0E9D" w:rsidRDefault="00D54BC6" w:rsidP="00A85D5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54BC6" w:rsidRPr="002B0E9D" w14:paraId="7A6ED41E" w14:textId="77777777" w:rsidTr="00B50747">
        <w:trPr>
          <w:trHeight w:val="287"/>
        </w:trPr>
        <w:tc>
          <w:tcPr>
            <w:tcW w:w="257" w:type="pct"/>
          </w:tcPr>
          <w:p w14:paraId="0E95A2E1" w14:textId="77777777" w:rsidR="00D54BC6" w:rsidRPr="00DA5FC0" w:rsidRDefault="00D54BC6" w:rsidP="00A85D53">
            <w:pPr>
              <w:spacing w:before="60" w:after="60"/>
              <w:jc w:val="center"/>
              <w:rPr>
                <w:b/>
                <w:sz w:val="20"/>
              </w:rPr>
            </w:pPr>
            <w:r w:rsidRPr="00DA5FC0">
              <w:rPr>
                <w:b/>
                <w:sz w:val="20"/>
              </w:rPr>
              <w:t>4</w:t>
            </w:r>
          </w:p>
        </w:tc>
        <w:tc>
          <w:tcPr>
            <w:tcW w:w="3247" w:type="pct"/>
            <w:vAlign w:val="center"/>
          </w:tcPr>
          <w:p w14:paraId="7EEB879C" w14:textId="77777777" w:rsidR="00D54BC6" w:rsidRDefault="00D54BC6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A846D2">
              <w:rPr>
                <w:b/>
                <w:sz w:val="20"/>
              </w:rPr>
              <w:t>Individual Market</w:t>
            </w:r>
            <w:r>
              <w:rPr>
                <w:b/>
                <w:sz w:val="20"/>
              </w:rPr>
              <w:t xml:space="preserve"> QDP - Annual</w:t>
            </w:r>
          </w:p>
          <w:p w14:paraId="2CBE6CA0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organizing, editing, and loading QDP applications including all applicable attachments and appendices into the Contractor’s system.</w:t>
            </w:r>
          </w:p>
          <w:p w14:paraId="205A00D5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Application response management tasks.</w:t>
            </w:r>
          </w:p>
          <w:p w14:paraId="37DEA287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Develop a response structure that accommodates Annual updates and document attachment submission.</w:t>
            </w:r>
          </w:p>
          <w:p w14:paraId="730DE2E4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76C63A76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2DBDC7F7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submissions.</w:t>
            </w:r>
          </w:p>
          <w:p w14:paraId="64AD1563" w14:textId="77777777" w:rsidR="00D54BC6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5F1A5BD1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938BC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58326BEC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21631E98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7299693C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02670F99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46CE0A2B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6968E631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676DCD6E" w14:textId="6EDFF81B" w:rsidR="00D54BC6" w:rsidRPr="002B0E9D" w:rsidRDefault="00D54BC6" w:rsidP="00B50747">
            <w:pPr>
              <w:spacing w:before="60" w:after="60"/>
              <w:ind w:right="-108"/>
              <w:rPr>
                <w:sz w:val="20"/>
              </w:rPr>
            </w:pPr>
          </w:p>
        </w:tc>
      </w:tr>
      <w:tr w:rsidR="00D54BC6" w:rsidRPr="002B0E9D" w14:paraId="1467A487" w14:textId="77777777" w:rsidTr="00B50747">
        <w:trPr>
          <w:trHeight w:val="287"/>
        </w:trPr>
        <w:tc>
          <w:tcPr>
            <w:tcW w:w="257" w:type="pct"/>
          </w:tcPr>
          <w:p w14:paraId="08CC76F7" w14:textId="77777777" w:rsidR="00D54BC6" w:rsidRPr="00DA5FC0" w:rsidRDefault="00D54BC6" w:rsidP="00A85D53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247" w:type="pct"/>
            <w:vAlign w:val="center"/>
          </w:tcPr>
          <w:p w14:paraId="4A0AA1DF" w14:textId="77777777" w:rsidR="00D54BC6" w:rsidRDefault="00D54BC6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F63AD9">
              <w:rPr>
                <w:b/>
                <w:sz w:val="20"/>
              </w:rPr>
              <w:t>Covered California for Small Business</w:t>
            </w:r>
            <w:r>
              <w:rPr>
                <w:b/>
                <w:sz w:val="20"/>
              </w:rPr>
              <w:t xml:space="preserve"> QD</w:t>
            </w:r>
            <w:r w:rsidRPr="00F63AD9">
              <w:rPr>
                <w:b/>
                <w:sz w:val="20"/>
              </w:rPr>
              <w:t xml:space="preserve">P </w:t>
            </w:r>
            <w:r>
              <w:rPr>
                <w:b/>
                <w:sz w:val="20"/>
              </w:rPr>
              <w:t>- Annual</w:t>
            </w:r>
            <w:r w:rsidRPr="00811F68">
              <w:rPr>
                <w:sz w:val="20"/>
                <w:szCs w:val="20"/>
              </w:rPr>
              <w:t xml:space="preserve"> </w:t>
            </w:r>
          </w:p>
          <w:p w14:paraId="14F0C7EC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organizing, editing, and loading QDP applications including all applicable attachments and appendices into the Contractor’s system.</w:t>
            </w:r>
          </w:p>
          <w:p w14:paraId="74326F64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Application response management tasks.</w:t>
            </w:r>
          </w:p>
          <w:p w14:paraId="4DE8342E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Develop a response structure that accommodates Annual updates and document attachment submission.</w:t>
            </w:r>
          </w:p>
          <w:p w14:paraId="6026B56E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480B2C4E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6FAF8306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submissions.</w:t>
            </w:r>
          </w:p>
          <w:p w14:paraId="3B428374" w14:textId="77777777" w:rsidR="00D54BC6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01B9BFCD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2DD6C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35456BC6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4344685E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3264A508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5A1BF74D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7DEB252D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40FE383E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68335598" w14:textId="4CA5C227" w:rsidR="00D54BC6" w:rsidRPr="00544715" w:rsidRDefault="00D54BC6" w:rsidP="00B50747">
            <w:pPr>
              <w:spacing w:before="60" w:after="60"/>
              <w:ind w:right="-108"/>
              <w:rPr>
                <w:sz w:val="20"/>
              </w:rPr>
            </w:pPr>
          </w:p>
        </w:tc>
      </w:tr>
      <w:tr w:rsidR="00B50747" w:rsidRPr="00544715" w14:paraId="0927B84E" w14:textId="77777777" w:rsidTr="00B50747">
        <w:trPr>
          <w:trHeight w:val="287"/>
        </w:trPr>
        <w:tc>
          <w:tcPr>
            <w:tcW w:w="257" w:type="pct"/>
          </w:tcPr>
          <w:p w14:paraId="671F8FA1" w14:textId="77777777" w:rsidR="00D54BC6" w:rsidRPr="00544715" w:rsidRDefault="00D54BC6" w:rsidP="00A85D53">
            <w:pPr>
              <w:spacing w:before="60" w:after="60"/>
              <w:jc w:val="center"/>
              <w:rPr>
                <w:b/>
                <w:sz w:val="20"/>
              </w:rPr>
            </w:pPr>
            <w:r w:rsidRPr="00544715">
              <w:rPr>
                <w:b/>
                <w:sz w:val="20"/>
              </w:rPr>
              <w:t>6</w:t>
            </w:r>
          </w:p>
        </w:tc>
        <w:tc>
          <w:tcPr>
            <w:tcW w:w="3247" w:type="pct"/>
            <w:vAlign w:val="center"/>
          </w:tcPr>
          <w:p w14:paraId="51311A63" w14:textId="77777777" w:rsidR="00D54BC6" w:rsidRPr="00544715" w:rsidRDefault="00D54BC6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544715">
              <w:rPr>
                <w:b/>
                <w:sz w:val="20"/>
              </w:rPr>
              <w:t>Covered California for Small Business – QDP Optional Quarterly</w:t>
            </w:r>
          </w:p>
          <w:p w14:paraId="63CE288C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Quarterly organizing, editing, and loading QDP applications including all applicable attachments and appendices into the Contractor’s system.</w:t>
            </w:r>
          </w:p>
          <w:p w14:paraId="76F661DE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Annual Application response management tasks.</w:t>
            </w:r>
          </w:p>
          <w:p w14:paraId="651567C6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 xml:space="preserve">Develop a response structure that accommodates quarterly updates and document attachment for select certification </w:t>
            </w:r>
            <w:proofErr w:type="gramStart"/>
            <w:r w:rsidRPr="00544715">
              <w:rPr>
                <w:sz w:val="18"/>
                <w:szCs w:val="18"/>
              </w:rPr>
              <w:t>elements;</w:t>
            </w:r>
            <w:proofErr w:type="gramEnd"/>
            <w:r w:rsidRPr="00544715">
              <w:rPr>
                <w:sz w:val="18"/>
                <w:szCs w:val="18"/>
              </w:rPr>
              <w:t xml:space="preserve"> and quarterly entrants.</w:t>
            </w:r>
          </w:p>
          <w:p w14:paraId="013B06F4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508660F5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Provide linkage to the application data subset.</w:t>
            </w:r>
          </w:p>
          <w:p w14:paraId="4E427830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Coordination and collection of other applicable data for Issuer contract compliance submissions.</w:t>
            </w:r>
          </w:p>
          <w:p w14:paraId="67099EEE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Contractor Tasks and Responsibilities</w:t>
            </w:r>
          </w:p>
          <w:p w14:paraId="7722F3F6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Ad Hoc Tasks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5DD4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04E8762B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650A15AD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4EEE87AE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2FD80563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0D538561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5830889E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12F62CF7" w14:textId="223C83DE" w:rsidR="00D54BC6" w:rsidRPr="00544715" w:rsidRDefault="00D54BC6" w:rsidP="00B50747">
            <w:pPr>
              <w:spacing w:before="60" w:after="60"/>
              <w:ind w:right="-108"/>
              <w:rPr>
                <w:sz w:val="20"/>
              </w:rPr>
            </w:pPr>
          </w:p>
        </w:tc>
      </w:tr>
    </w:tbl>
    <w:p w14:paraId="3A3D219D" w14:textId="508B3892" w:rsidR="00857578" w:rsidRPr="00B50747" w:rsidRDefault="00830B5E" w:rsidP="00B50747">
      <w:r>
        <w:br w:type="page"/>
      </w:r>
    </w:p>
    <w:p w14:paraId="3A6E5F43" w14:textId="77777777" w:rsidR="00C9596D" w:rsidRDefault="00C9596D" w:rsidP="00EE5971">
      <w:pPr>
        <w:ind w:right="10"/>
        <w:rPr>
          <w:rFonts w:cs="Arial"/>
          <w:b/>
          <w:szCs w:val="24"/>
        </w:rPr>
      </w:pPr>
    </w:p>
    <w:p w14:paraId="729D2655" w14:textId="63215AF8" w:rsidR="00A70429" w:rsidRPr="00B50747" w:rsidRDefault="00F23926" w:rsidP="00EE5971">
      <w:pPr>
        <w:ind w:right="10"/>
        <w:rPr>
          <w:rFonts w:cs="Arial"/>
          <w:b/>
          <w:szCs w:val="24"/>
          <w:u w:val="single"/>
        </w:rPr>
      </w:pPr>
      <w:r w:rsidRPr="00F23926">
        <w:rPr>
          <w:rFonts w:cs="Arial"/>
          <w:b/>
          <w:szCs w:val="24"/>
        </w:rPr>
        <w:t>Total Contract Amount</w:t>
      </w:r>
      <w:r w:rsidR="00B50747">
        <w:rPr>
          <w:rFonts w:cs="Arial"/>
          <w:b/>
          <w:szCs w:val="24"/>
        </w:rPr>
        <w:t xml:space="preserve"> Not to Exceed</w:t>
      </w:r>
      <w:r w:rsidRPr="00F23926">
        <w:rPr>
          <w:rFonts w:cs="Arial"/>
          <w:b/>
          <w:szCs w:val="24"/>
        </w:rPr>
        <w:t xml:space="preserve">: </w:t>
      </w:r>
      <w:r w:rsidR="00952AFD" w:rsidRPr="00B50747">
        <w:rPr>
          <w:rFonts w:cs="Arial"/>
          <w:b/>
          <w:szCs w:val="24"/>
          <w:u w:val="single"/>
        </w:rPr>
        <w:t>$</w:t>
      </w:r>
      <w:r w:rsidR="00952AFD" w:rsidRPr="00B50747">
        <w:rPr>
          <w:rFonts w:cs="Arial"/>
          <w:b/>
          <w:color w:val="FF0000"/>
          <w:szCs w:val="24"/>
          <w:u w:val="single"/>
        </w:rPr>
        <w:t>XX.XX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02E5ABE9" w:rsidR="003758A9" w:rsidRPr="00E7716A" w:rsidRDefault="003758A9" w:rsidP="003758A9">
      <w:pPr>
        <w:rPr>
          <w:rFonts w:cstheme="minorHAnsi"/>
          <w:color w:val="FF0000"/>
        </w:rPr>
      </w:pPr>
      <w:r w:rsidRPr="00E7716A">
        <w:rPr>
          <w:rFonts w:cstheme="minorHAnsi"/>
          <w:color w:val="FF0000"/>
        </w:rPr>
        <w:t>*</w:t>
      </w:r>
      <w:r w:rsidR="00844CC8">
        <w:rPr>
          <w:rFonts w:cstheme="minorHAnsi"/>
          <w:color w:val="FF0000"/>
        </w:rPr>
        <w:t>Rates</w:t>
      </w:r>
      <w:r w:rsidRPr="00E7716A">
        <w:rPr>
          <w:rFonts w:cstheme="minorHAnsi"/>
          <w:color w:val="FF0000"/>
        </w:rPr>
        <w:t xml:space="preserve"> identified in the Cost </w:t>
      </w:r>
      <w:r w:rsidR="00AA1CE4">
        <w:rPr>
          <w:rFonts w:cstheme="minorHAnsi"/>
          <w:color w:val="FF0000"/>
        </w:rPr>
        <w:t>Works</w:t>
      </w:r>
      <w:r w:rsidRPr="00E7716A">
        <w:rPr>
          <w:rFonts w:cstheme="minorHAnsi"/>
          <w:color w:val="FF0000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473"/>
        </w:tabs>
        <w:ind w:left="4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906645034">
    <w:abstractNumId w:val="37"/>
  </w:num>
  <w:num w:numId="2" w16cid:durableId="1314799303">
    <w:abstractNumId w:val="4"/>
  </w:num>
  <w:num w:numId="3" w16cid:durableId="1165130464">
    <w:abstractNumId w:val="17"/>
  </w:num>
  <w:num w:numId="4" w16cid:durableId="1463882267">
    <w:abstractNumId w:val="39"/>
  </w:num>
  <w:num w:numId="5" w16cid:durableId="20135670">
    <w:abstractNumId w:val="41"/>
  </w:num>
  <w:num w:numId="6" w16cid:durableId="1524587971">
    <w:abstractNumId w:val="0"/>
  </w:num>
  <w:num w:numId="7" w16cid:durableId="919481472">
    <w:abstractNumId w:val="42"/>
  </w:num>
  <w:num w:numId="8" w16cid:durableId="1178694343">
    <w:abstractNumId w:val="29"/>
  </w:num>
  <w:num w:numId="9" w16cid:durableId="1296326406">
    <w:abstractNumId w:val="10"/>
  </w:num>
  <w:num w:numId="10" w16cid:durableId="1075668509">
    <w:abstractNumId w:val="24"/>
  </w:num>
  <w:num w:numId="11" w16cid:durableId="126972867">
    <w:abstractNumId w:val="9"/>
  </w:num>
  <w:num w:numId="12" w16cid:durableId="448403507">
    <w:abstractNumId w:val="14"/>
  </w:num>
  <w:num w:numId="13" w16cid:durableId="628709209">
    <w:abstractNumId w:val="8"/>
  </w:num>
  <w:num w:numId="14" w16cid:durableId="1740517835">
    <w:abstractNumId w:val="11"/>
  </w:num>
  <w:num w:numId="15" w16cid:durableId="389810829">
    <w:abstractNumId w:val="44"/>
  </w:num>
  <w:num w:numId="16" w16cid:durableId="1385788809">
    <w:abstractNumId w:val="38"/>
  </w:num>
  <w:num w:numId="17" w16cid:durableId="1131750230">
    <w:abstractNumId w:val="43"/>
  </w:num>
  <w:num w:numId="18" w16cid:durableId="1972133313">
    <w:abstractNumId w:val="31"/>
  </w:num>
  <w:num w:numId="19" w16cid:durableId="1767965423">
    <w:abstractNumId w:val="3"/>
  </w:num>
  <w:num w:numId="20" w16cid:durableId="647244267">
    <w:abstractNumId w:val="15"/>
  </w:num>
  <w:num w:numId="21" w16cid:durableId="635456421">
    <w:abstractNumId w:val="16"/>
  </w:num>
  <w:num w:numId="22" w16cid:durableId="1375882309">
    <w:abstractNumId w:val="25"/>
  </w:num>
  <w:num w:numId="23" w16cid:durableId="880364047">
    <w:abstractNumId w:val="20"/>
  </w:num>
  <w:num w:numId="24" w16cid:durableId="264388028">
    <w:abstractNumId w:val="27"/>
  </w:num>
  <w:num w:numId="25" w16cid:durableId="1676415871">
    <w:abstractNumId w:val="35"/>
  </w:num>
  <w:num w:numId="26" w16cid:durableId="2091273813">
    <w:abstractNumId w:val="34"/>
  </w:num>
  <w:num w:numId="27" w16cid:durableId="740059406">
    <w:abstractNumId w:val="21"/>
  </w:num>
  <w:num w:numId="28" w16cid:durableId="204146034">
    <w:abstractNumId w:val="7"/>
  </w:num>
  <w:num w:numId="29" w16cid:durableId="230120030">
    <w:abstractNumId w:val="26"/>
  </w:num>
  <w:num w:numId="30" w16cid:durableId="1657413732">
    <w:abstractNumId w:val="6"/>
  </w:num>
  <w:num w:numId="31" w16cid:durableId="2120173206">
    <w:abstractNumId w:val="2"/>
  </w:num>
  <w:num w:numId="32" w16cid:durableId="1020089534">
    <w:abstractNumId w:val="19"/>
  </w:num>
  <w:num w:numId="33" w16cid:durableId="814488314">
    <w:abstractNumId w:val="32"/>
  </w:num>
  <w:num w:numId="34" w16cid:durableId="65733413">
    <w:abstractNumId w:val="33"/>
  </w:num>
  <w:num w:numId="35" w16cid:durableId="555245409">
    <w:abstractNumId w:val="40"/>
  </w:num>
  <w:num w:numId="36" w16cid:durableId="801464501">
    <w:abstractNumId w:val="23"/>
  </w:num>
  <w:num w:numId="37" w16cid:durableId="1806316963">
    <w:abstractNumId w:val="1"/>
  </w:num>
  <w:num w:numId="38" w16cid:durableId="298876805">
    <w:abstractNumId w:val="18"/>
  </w:num>
  <w:num w:numId="39" w16cid:durableId="535000953">
    <w:abstractNumId w:val="45"/>
  </w:num>
  <w:num w:numId="40" w16cid:durableId="1375957176">
    <w:abstractNumId w:val="13"/>
  </w:num>
  <w:num w:numId="41" w16cid:durableId="1718427620">
    <w:abstractNumId w:val="36"/>
  </w:num>
  <w:num w:numId="42" w16cid:durableId="1131093518">
    <w:abstractNumId w:val="28"/>
  </w:num>
  <w:num w:numId="43" w16cid:durableId="1011760720">
    <w:abstractNumId w:val="12"/>
  </w:num>
  <w:num w:numId="44" w16cid:durableId="1643119356">
    <w:abstractNumId w:val="30"/>
  </w:num>
  <w:num w:numId="45" w16cid:durableId="5505066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99018170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57D6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D2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1D90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29C9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393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21C4"/>
    <w:rsid w:val="00273EC3"/>
    <w:rsid w:val="00274825"/>
    <w:rsid w:val="0027522C"/>
    <w:rsid w:val="00275CEB"/>
    <w:rsid w:val="00276A2C"/>
    <w:rsid w:val="00276E5B"/>
    <w:rsid w:val="002802D6"/>
    <w:rsid w:val="00280813"/>
    <w:rsid w:val="00280834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5E7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5E52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C7B28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2E76"/>
    <w:rsid w:val="004E3257"/>
    <w:rsid w:val="004E44D0"/>
    <w:rsid w:val="004E4561"/>
    <w:rsid w:val="004E50E9"/>
    <w:rsid w:val="004E546C"/>
    <w:rsid w:val="004E55E4"/>
    <w:rsid w:val="004E63C1"/>
    <w:rsid w:val="004E6F66"/>
    <w:rsid w:val="004F0704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6E61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715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40F9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216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23B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0B0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56B5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1CE0"/>
    <w:rsid w:val="00762D88"/>
    <w:rsid w:val="0076544E"/>
    <w:rsid w:val="007655E4"/>
    <w:rsid w:val="007660B7"/>
    <w:rsid w:val="0076676C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0B5E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57578"/>
    <w:rsid w:val="00857C70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DF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0747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1DE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5A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96D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4BC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8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682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4955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Lynchoffersen, Darcy (CoveredCA)</cp:lastModifiedBy>
  <cp:revision>1</cp:revision>
  <cp:lastPrinted>2017-09-14T17:42:00Z</cp:lastPrinted>
  <dcterms:created xsi:type="dcterms:W3CDTF">2025-03-13T21:51:00Z</dcterms:created>
  <dcterms:modified xsi:type="dcterms:W3CDTF">2025-05-28T15:58:00Z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2025-01-16T00:40:25Z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2ee69408-c56f-4f09-a2e5-4f21634a19f0</vt:lpwstr>
  </property>
  <property fmtid="{D5CDD505-2E9C-101B-9397-08002B2CF9AE}" pid="8" name="MSIP_Label_1b8fe692-65eb-452b-9080-c3b135e23679_ContentBits">
    <vt:lpwstr>0</vt:lpwstr>
  </property>
</Properties>
</file>